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0" w:before="36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CURRICULUM VITAE           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OF</w:t>
        <w:br w:type="textWrapping"/>
        <w:t xml:space="preserve">DR. RAQIBA Yasmin</w:t>
      </w:r>
      <w:r w:rsidDel="00000000" w:rsidR="00000000" w:rsidRPr="00000000">
        <w:pict>
          <v:shape id="_x0000_s1026" style="position:absolute;left:0;text-align:left;margin-left:1.0pt;margin-top:65.25pt;width:462.5pt;height:0;z-index:251658240;mso-position-horizontal:absolute;mso-position-vertical:absolute;mso-position-horizontal-relative:margin;mso-position-vertical-relative:text;" strokecolor="black [3200]" strokeweight="2.5pt" o:connectortype="straight" type="#_x0000_t32">
            <v:shadow color="#868686"/>
          </v:shape>
        </w:pict>
      </w:r>
    </w:p>
    <w:p w:rsidR="00000000" w:rsidDel="00000000" w:rsidP="00000000" w:rsidRDefault="00000000" w:rsidRPr="00000000" w14:paraId="00000002">
      <w:pPr>
        <w:spacing w:after="600" w:before="36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</w:rPr>
        <w:drawing>
          <wp:inline distB="114300" distT="114300" distL="114300" distR="114300">
            <wp:extent cx="1053751" cy="1219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3751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461.0" w:type="dxa"/>
        <w:jc w:val="left"/>
        <w:tblInd w:w="0.0" w:type="dxa"/>
        <w:tblLayout w:type="fixed"/>
        <w:tblLook w:val="0000"/>
      </w:tblPr>
      <w:tblGrid>
        <w:gridCol w:w="2984"/>
        <w:gridCol w:w="454"/>
        <w:gridCol w:w="6023"/>
        <w:tblGridChange w:id="0">
          <w:tblGrid>
            <w:gridCol w:w="2984"/>
            <w:gridCol w:w="454"/>
            <w:gridCol w:w="602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3">
            <w:pPr>
              <w:numPr>
                <w:ilvl w:val="0"/>
                <w:numId w:val="3"/>
              </w:numPr>
              <w:spacing w:after="60" w:before="6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Dr. Raqiba Yasmin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spacing w:after="60" w:before="6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Father’s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Emeritus Professor Dr. A K M Yaqub Ali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after="60" w:before="6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Mother’s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Rahima Yaqub (Dead)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pacing w:after="60" w:before="6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Husband's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Ruhul K M Saleh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spacing w:after="60" w:before="60" w:line="240" w:lineRule="auto"/>
              <w:ind w:left="360" w:hanging="36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and place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January 1970, Bangladesh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after="60" w:before="6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Profession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Teaching &amp; Research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60" w:before="6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 of joining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December 1994 in Islamic University, Kushtia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60" w:before="6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Office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Dept. of Public Administration, Islamic University, Kushtia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spacing w:after="60" w:before="6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Home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Phone: 071-71709 (Res.)</w:t>
            </w:r>
          </w:p>
          <w:p w:rsidR="00000000" w:rsidDel="00000000" w:rsidP="00000000" w:rsidRDefault="00000000" w:rsidRPr="00000000" w14:paraId="00000022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Mobile: 01712-111470</w:t>
            </w:r>
          </w:p>
          <w:p w:rsidR="00000000" w:rsidDel="00000000" w:rsidP="00000000" w:rsidRDefault="00000000" w:rsidRPr="00000000" w14:paraId="00000023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60" w:before="60" w:line="240" w:lineRule="auto"/>
              <w:ind w:left="360" w:hanging="36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Permanent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'Kantara' 22/2, Khodadad Khan Road, Thanapara, Kushtia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60" w:before="6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Bangladeshi (By birth)</w:t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1.0" w:type="dxa"/>
        <w:jc w:val="left"/>
        <w:tblInd w:w="0.0" w:type="dxa"/>
        <w:tblLayout w:type="fixed"/>
        <w:tblLook w:val="0000"/>
      </w:tblPr>
      <w:tblGrid>
        <w:gridCol w:w="9461"/>
        <w:tblGridChange w:id="0">
          <w:tblGrid>
            <w:gridCol w:w="946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after="240" w:before="240" w:line="240" w:lineRule="auto"/>
              <w:ind w:left="360" w:hanging="36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Educational Background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0"/>
        <w:gridCol w:w="1306"/>
        <w:gridCol w:w="2570"/>
        <w:gridCol w:w="2152"/>
        <w:gridCol w:w="2243"/>
        <w:tblGridChange w:id="0">
          <w:tblGrid>
            <w:gridCol w:w="1190"/>
            <w:gridCol w:w="1306"/>
            <w:gridCol w:w="2570"/>
            <w:gridCol w:w="2152"/>
            <w:gridCol w:w="224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 of Pass: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Exam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Board/</w:t>
            </w:r>
          </w:p>
          <w:p w:rsidR="00000000" w:rsidDel="00000000" w:rsidP="00000000" w:rsidRDefault="00000000" w:rsidRPr="00000000" w14:paraId="00000030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</w:t>
            </w:r>
          </w:p>
          <w:p w:rsidR="00000000" w:rsidDel="00000000" w:rsidP="00000000" w:rsidRDefault="00000000" w:rsidRPr="00000000" w14:paraId="00000032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Results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S.S.C (Arts)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Rajshahi Education Board, Rajshahi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Rajshahi University School &amp; College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Division</w:t>
            </w:r>
          </w:p>
          <w:p w:rsidR="00000000" w:rsidDel="00000000" w:rsidP="00000000" w:rsidRDefault="00000000" w:rsidRPr="00000000" w14:paraId="00000039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place)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H.S.C (Arts)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Rajshahi College, Rajshahi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Division</w:t>
            </w:r>
          </w:p>
          <w:p w:rsidR="00000000" w:rsidDel="00000000" w:rsidP="00000000" w:rsidRDefault="00000000" w:rsidRPr="00000000" w14:paraId="0000003F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place)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B.S.S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Rajshahi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Dept. of</w:t>
              <w:br w:type="textWrapping"/>
              <w:t xml:space="preserve">Political Science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Upper Second Class </w:t>
            </w:r>
          </w:p>
          <w:p w:rsidR="00000000" w:rsidDel="00000000" w:rsidP="00000000" w:rsidRDefault="00000000" w:rsidRPr="00000000" w14:paraId="00000045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Position)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M.S.S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Rajshahi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Class (1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Place)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Ph.D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Islamic University, Kushtia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Islamic University, Kushtia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Awarded</w:t>
            </w:r>
          </w:p>
        </w:tc>
      </w:tr>
    </w:tbl>
    <w:p w:rsidR="00000000" w:rsidDel="00000000" w:rsidP="00000000" w:rsidRDefault="00000000" w:rsidRPr="00000000" w14:paraId="00000050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1.0" w:type="dxa"/>
        <w:jc w:val="left"/>
        <w:tblInd w:w="0.0" w:type="dxa"/>
        <w:tblLayout w:type="fixed"/>
        <w:tblLook w:val="0000"/>
      </w:tblPr>
      <w:tblGrid>
        <w:gridCol w:w="2935"/>
        <w:gridCol w:w="422"/>
        <w:gridCol w:w="6104"/>
        <w:tblGridChange w:id="0">
          <w:tblGrid>
            <w:gridCol w:w="2935"/>
            <w:gridCol w:w="422"/>
            <w:gridCol w:w="6104"/>
          </w:tblGrid>
        </w:tblGridChange>
      </w:tblGrid>
      <w:tr>
        <w:tc>
          <w:tcPr/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spacing w:after="0" w:before="120" w:line="240" w:lineRule="auto"/>
              <w:ind w:left="360" w:hanging="36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Title of Ph.D Thesis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"The Role of Parliamentary Committee System in Parliamentary Democracy of Bangladesh (1972-96): A review"</w:t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spacing w:after="0" w:before="120" w:line="2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Specialization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Govt. and Politics, Parliamentary Committee System, Political Sociology, Bangladesh Public Administration, Problems of Govt.</w:t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spacing w:after="0" w:before="120" w:line="240" w:lineRule="auto"/>
              <w:ind w:left="360" w:hanging="360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Language Proficiency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A">
            <w:pPr>
              <w:numPr>
                <w:ilvl w:val="1"/>
                <w:numId w:val="3"/>
              </w:numPr>
              <w:spacing w:after="0" w:before="120" w:line="240" w:lineRule="auto"/>
              <w:ind w:left="432" w:hanging="43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Bengali (Mother Tongue)</w:t>
            </w:r>
          </w:p>
          <w:p w:rsidR="00000000" w:rsidDel="00000000" w:rsidP="00000000" w:rsidRDefault="00000000" w:rsidRPr="00000000" w14:paraId="0000005B">
            <w:pPr>
              <w:numPr>
                <w:ilvl w:val="1"/>
                <w:numId w:val="3"/>
              </w:numPr>
              <w:spacing w:after="0" w:line="240" w:lineRule="auto"/>
              <w:ind w:left="432" w:hanging="43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English (Read, Write and Speak)</w:t>
            </w:r>
          </w:p>
        </w:tc>
      </w:tr>
    </w:tbl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240" w:before="24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Extra-curricular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spacing w:after="0" w:before="60" w:line="240" w:lineRule="auto"/>
        <w:ind w:left="864" w:hanging="432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House Tutor (Begum Khaleda Zia Hall).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spacing w:after="0" w:before="60" w:line="240" w:lineRule="auto"/>
        <w:ind w:left="864" w:hanging="432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Part-time teacher of Islamic History and Culture, Islamic University, Kushtia from 1995-1996 and 2002-2005.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5"/>
        </w:numPr>
        <w:spacing w:after="0" w:before="60" w:line="240" w:lineRule="auto"/>
        <w:ind w:left="864" w:hanging="432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Editor, the Journal of Politics and Administration, the Dept. of Public Administration.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spacing w:after="0" w:before="60" w:line="240" w:lineRule="auto"/>
        <w:ind w:left="864" w:hanging="432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Lecturer, the Dept. of Political Science, Rajshahi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spacing w:after="0" w:before="60" w:line="240" w:lineRule="auto"/>
        <w:ind w:left="864" w:hanging="432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Founder Chairman, the Dept. of Political Science, Islamic University, Kushtia from 2016-2019.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240" w:before="24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Published Books and Research Papers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before="10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Parliamentary Democracy and the Parliamentary Committee System in Bangladesh 1972-1996 (Bangladesh Samsadiya Ganatranta O Samsadiya Committee Babastha 1972-1996), Mawla Brothers, Banglabazar, Dhaka, 2007.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before="10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Distinguished Personalities (Smraniya Baranaya Baktittya), Chapter-Titumir, Bangladesh Book Corporation, 2015.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before="10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Political and Constitutional Development of Bangladesh (1757-1972), Novel Publishing House, 2/3 Paridas Road, Banglabazar, Dhaka, 2014.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before="10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Rajnititye Samarik Hastakheep : Prekkit Bangladesh, Samajik Biggan Journal, 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Volume, 1998, Rajshahi University.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before="10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Raqiba Yasmin and A. K. M. Motinur Rahman,” Theory of Development planning and the planning process in Bangladesh, Social science Review Vol. 17. No June the Dhaka University studies, part,-D, Faculty of Social Sciences.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before="10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Bangladesh-Bharat Samparka: Parsange Ganga Pani Bandhan Chukti,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Part,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Volume, December 1999, Islami University Studies.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before="10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Tattabadhayak Sarker: Bangladesh Paripakkit,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Lock Prashashan Shamayaki, 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Volume, March 2001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0" w:before="10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Islame Paribarik Kallan abong Ulamar Bhumika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Islamic Gabeshana Patrika,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Volume, 2001, Center for Islamic Research, Rajshahi, Bangladesh.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0" w:before="10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A.K.M. Motinur Rahman and Dr. 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Bisma Santi O Ajke Jaitsangha: Ekti Parjalachana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Part,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Volume, December, 1997, Islamic Studies.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after="0" w:before="10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Rastrabhasa Andalan O Bengali Jatiyatabad: Ekti Samikkhya,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Volume,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Part, Islamic University Studies.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before="10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Muslim Reneshay Syed Amir Ali Abadan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Volume,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Part (Parkasitabba), Islamic University Studies.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after="0" w:before="8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Antarjatik Rajnititye Morgenthao-Er Ekti Samikkhya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Islamic University Studies,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Volume,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Part, 1995.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Raqiba Yasmin , Gias Uddin &amp; ‘Abudur Rashid,”NGO Intervention and women Empowerment Amongst  the Indigenous Santal Community in Rajshahi“ The Bangladesh Journal of Resources and Development (BJRD); N. A. Khan (ed.) 1(1):PP. 154.(e) CERDER. ISSN: 1683-1616 by centre International de‘ISSN, France. 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Ruhul Kuddus Md. Saleh O Dr. 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Uttarbanger Nagarayane Takshal Nagari (1200-1776)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Islamic Studies Journal,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Volume,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Part-E.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Bangladesher Rajnititye Pamcham Jatiya Samsad-Er Karjakarita: Ekti Parjalachana,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Rajshahi University Law Journal, 2005, Rajshahi University, Rajshahi.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Bangladesh Jatiya Committee Babostha: Er Karjakaritya (1973-1975),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Lock Parshashan Patrika, 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Volume, Kartick 1411/November, 2004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Mantranalay Samparkita Committeeshamuha: Prashanga Pancham Jatiya Sangsad,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Islamic Gabeshana Patrika,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Volume, Center for Islamic Research, Rajshahi.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Ruhul Kuddus Md. Saleh and Dr. 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Muslim Banglar Katipay Mudrar Lipigath: Aytihashik Upadan Anusandhan,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Journal of the Institute of Islamic Education &amp; Research 2005.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Raqiba Yasmin &amp; Kafil Uddin Ahmed,” Committee Systems in Bangladesh parliament (1972-2001), Journal of the Institute of Bangladesh Studies, Vol, xxxix, 2006.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Pancham Jatiya Sangsad Pathio Katipay Guruttapurna Committee: Ekti Parjalachana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Rajshahi University Law Journal, 2006, Rajshahi University, Rajshahi.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Raqiba Yasmin,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Bangladesh Samsadiya Ganatranga O Er Karjakarita (1972-1975)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Professor Dr. A K M Yaqub Ali Sambardhana Grantha.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Mohammad Johurul Islam &amp; Dr. Raqiba Yasmin , “Protection of Indigenous Knowledge in Bangladesh: An Agenda for Development,” The Islamic University Studies, Faculty of Law &amp; Sharia , Vol,4,No 2, 2003-2004, Islamic University, Kushtia.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 Raqiba Yasmin, ‘‘Strengthening the local Government and effective Role of Upazila Perished in Bangladesh” https: I eardrum. Org/Journal/ i=JPASWR. Refereed Journal. Sep 2,2017.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Raqiba Yasmin, Embdadul Haque and Sania Sultana,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Monga and Its Impact on the Northern Region of Bangladesh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Journal of Political and Administration, Vol.4,Nos.1y 2, 2013, ISSIV 1818-9571, Dept. of Politics and public Administration Islamic University, Kushtia, Bangladesh.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after="0" w:before="120" w:line="240" w:lineRule="auto"/>
        <w:ind w:left="864"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Raqiba Yasmin and Tanjiul Islam, "The Functions of Prime Minister: Bangladesh Perspective", Volume-18, No-1, 2018, Islamic University Studies.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240" w:before="24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Details of Research Guidance M.Phil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after="0" w:before="120" w:line="240" w:lineRule="auto"/>
        <w:ind w:left="864" w:hanging="432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Sherina Khatun, Fellow, Dept. of Public Administration, Assistant Professor (at Present), the Dept. of Political Science, Islamic University, Kushtia.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after="0" w:before="120" w:line="240" w:lineRule="auto"/>
        <w:ind w:left="864" w:hanging="432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Rabiul Islam, Fellow, Dept. of Public Administration, Islamic University, Kushtia.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spacing w:after="0" w:before="120" w:line="240" w:lineRule="auto"/>
        <w:ind w:left="864" w:hanging="432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Parvin Aktar, Fellow, Dept. of Public Administration, Islamic University, Kushtia.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240" w:before="24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Seminar and Symposia Attend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after="0" w:before="120" w:line="264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and Presented a paper in the Seminar 'Understanding Bangladesh 2019;, Organized by the Dept. of Begum Rokeya University, Rangpur.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after="0" w:before="120" w:line="264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and Presented a paper titled 'Good Governance in Parliamentary Democracy of Bangladesh: Role of Parliamentary Committees with reference to 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Jatiya Sangsad in the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International Conference on 'Governance in the 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Century in South Asia: Challenges and Ways Forward', Organized by the Dept. of Government and Politics, Jahangirnagar University, Savar, Dhaka, Bangladesh.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0" w:before="120" w:line="264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Delivered a Lecture titled 'Leadership Styles: Bangladesh Perspective', Organized by the Dept. of Political Science, North Bengal International University, Rajshahi, December,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after="0" w:before="120" w:line="264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Attended and Presented a paper titled "Bangladesh Sambidhaner Samsadhanisamuha: Ekti Parjalochana" in Paschimbanga Itihas Sangsad Sammellam.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720" w:before="1500" w:line="240" w:lineRule="auto"/>
        <w:ind w:left="72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Signature-</w:t>
      </w:r>
    </w:p>
    <w:p w:rsidR="00000000" w:rsidDel="00000000" w:rsidP="00000000" w:rsidRDefault="00000000" w:rsidRPr="00000000" w14:paraId="00000086">
      <w:pPr>
        <w:spacing w:after="0" w:line="240" w:lineRule="auto"/>
        <w:ind w:left="72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Dr. Raqiba Yasmin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4" w:w="11909"/>
      <w:pgMar w:bottom="1440" w:top="1440" w:left="1440" w:right="122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SutonnyMJ"/>
  <w:font w:name="Georgia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/>
    </w:lvl>
    <w:lvl w:ilvl="2">
      <w:start w:val="1"/>
      <w:numFmt w:val="upperLetter"/>
      <w:lvlText w:val="%3."/>
      <w:lvlJc w:val="left"/>
      <w:pPr>
        <w:ind w:left="360" w:hanging="360"/>
      </w:pPr>
      <w:rPr/>
    </w:lvl>
    <w:lvl w:ilvl="3">
      <w:start w:val="1"/>
      <w:numFmt w:val="lowerRoman"/>
      <w:lvlText w:val="(%4)"/>
      <w:lvlJc w:val="left"/>
      <w:pPr>
        <w:ind w:left="0" w:firstLine="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▪"/>
      <w:lvlJc w:val="left"/>
      <w:pPr>
        <w:ind w:left="432" w:hanging="432"/>
      </w:pPr>
      <w:rPr>
        <w:rFonts w:ascii="Noto Sans Symbols" w:cs="Noto Sans Symbols" w:eastAsia="Noto Sans Symbols" w:hAnsi="Noto Sans Symbols"/>
      </w:rPr>
    </w:lvl>
    <w:lvl w:ilvl="2">
      <w:start w:val="1"/>
      <w:numFmt w:val="upperLetter"/>
      <w:lvlText w:val="%3."/>
      <w:lvlJc w:val="left"/>
      <w:pPr>
        <w:ind w:left="360" w:hanging="360"/>
      </w:pPr>
      <w:rPr/>
    </w:lvl>
    <w:lvl w:ilvl="3">
      <w:start w:val="1"/>
      <w:numFmt w:val="lowerRoman"/>
      <w:lvlText w:val="(%4)"/>
      <w:lvlJc w:val="left"/>
      <w:pPr>
        <w:ind w:left="0" w:firstLine="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/>
    </w:lvl>
    <w:lvl w:ilvl="2">
      <w:start w:val="1"/>
      <w:numFmt w:val="upperLetter"/>
      <w:lvlText w:val="%3."/>
      <w:lvlJc w:val="left"/>
      <w:pPr>
        <w:ind w:left="360" w:hanging="360"/>
      </w:pPr>
      <w:rPr/>
    </w:lvl>
    <w:lvl w:ilvl="3">
      <w:start w:val="1"/>
      <w:numFmt w:val="lowerRoman"/>
      <w:lvlText w:val="(%4)"/>
      <w:lvlJc w:val="left"/>
      <w:pPr>
        <w:ind w:left="0" w:firstLine="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▪"/>
      <w:lvlJc w:val="left"/>
      <w:pPr>
        <w:ind w:left="432" w:hanging="432"/>
      </w:pPr>
      <w:rPr>
        <w:rFonts w:ascii="Noto Sans Symbols" w:cs="Noto Sans Symbols" w:eastAsia="Noto Sans Symbols" w:hAnsi="Noto Sans Symbols"/>
      </w:rPr>
    </w:lvl>
    <w:lvl w:ilvl="2">
      <w:start w:val="1"/>
      <w:numFmt w:val="upperLetter"/>
      <w:lvlText w:val="%3."/>
      <w:lvlJc w:val="left"/>
      <w:pPr>
        <w:ind w:left="360" w:hanging="360"/>
      </w:pPr>
      <w:rPr/>
    </w:lvl>
    <w:lvl w:ilvl="3">
      <w:start w:val="1"/>
      <w:numFmt w:val="lowerRoman"/>
      <w:lvlText w:val="(%4)"/>
      <w:lvlJc w:val="left"/>
      <w:pPr>
        <w:ind w:left="0" w:firstLine="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before="240" w:line="360" w:lineRule="auto"/>
      <w:jc w:val="both"/>
    </w:pPr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pPr>
      <w:keepNext w:val="1"/>
      <w:spacing w:after="0" w:before="240" w:line="360" w:lineRule="auto"/>
      <w:jc w:val="both"/>
    </w:pPr>
    <w:rPr>
      <w:rFonts w:ascii="SutonnyMJ" w:cs="SutonnyMJ" w:eastAsia="SutonnyMJ" w:hAnsi="SutonnyMJ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center"/>
    </w:pPr>
    <w:rPr>
      <w:rFonts w:ascii="SutonnyMJ" w:cs="SutonnyMJ" w:eastAsia="SutonnyMJ" w:hAnsi="SutonnyMJ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240" w:line="360" w:lineRule="auto"/>
      <w:jc w:val="center"/>
    </w:pPr>
    <w:rPr>
      <w:rFonts w:ascii="SutonnyMJ" w:cs="SutonnyMJ" w:eastAsia="SutonnyMJ" w:hAnsi="SutonnyMJ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